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F1724">
      <w:pPr>
        <w:spacing w:line="360" w:lineRule="auto"/>
        <w:ind w:firstLine="6"/>
        <w:jc w:val="center"/>
        <w:rPr>
          <w:bCs/>
          <w:sz w:val="30"/>
          <w:szCs w:val="30"/>
        </w:rPr>
      </w:pPr>
      <w:r>
        <w:rPr>
          <w:rFonts w:hint="eastAsia"/>
          <w:bCs/>
          <w:sz w:val="30"/>
          <w:szCs w:val="30"/>
        </w:rPr>
        <w:t>I</w:t>
      </w:r>
      <w:r>
        <w:rPr>
          <w:bCs/>
          <w:sz w:val="30"/>
          <w:szCs w:val="30"/>
        </w:rPr>
        <w:t>nvestment</w:t>
      </w:r>
    </w:p>
    <w:p w14:paraId="54A8C28C">
      <w:pPr>
        <w:ind w:firstLine="6"/>
        <w:jc w:val="center"/>
        <w:rPr>
          <w:bCs/>
          <w:szCs w:val="21"/>
        </w:rPr>
      </w:pPr>
      <w:r>
        <w:rPr>
          <w:rFonts w:hint="eastAsia"/>
          <w:bCs/>
          <w:szCs w:val="21"/>
        </w:rPr>
        <w:t>Prof. Yingzi Zhu</w:t>
      </w:r>
    </w:p>
    <w:p w14:paraId="0CE5E343">
      <w:pPr>
        <w:ind w:firstLine="6"/>
        <w:jc w:val="center"/>
        <w:rPr>
          <w:bCs/>
          <w:szCs w:val="21"/>
        </w:rPr>
      </w:pPr>
      <w:r>
        <w:rPr>
          <w:rFonts w:hint="eastAsia"/>
          <w:bCs/>
          <w:szCs w:val="21"/>
        </w:rPr>
        <w:t xml:space="preserve"> </w:t>
      </w:r>
      <w:r>
        <w:rPr>
          <w:bCs/>
          <w:szCs w:val="21"/>
        </w:rPr>
        <w:t>email：</w:t>
      </w:r>
      <w:r>
        <w:fldChar w:fldCharType="begin"/>
      </w:r>
      <w:r>
        <w:instrText xml:space="preserve"> HYPERLINK "mailto:zhuyz@sem.tsinghua.edu.cn" </w:instrText>
      </w:r>
      <w:r>
        <w:fldChar w:fldCharType="separate"/>
      </w:r>
      <w:r>
        <w:rPr>
          <w:rStyle w:val="6"/>
          <w:bCs/>
          <w:szCs w:val="21"/>
        </w:rPr>
        <w:t>zhuyz@sem.tsinghua.edu.cn</w:t>
      </w:r>
      <w:r>
        <w:rPr>
          <w:rStyle w:val="6"/>
          <w:bCs/>
          <w:szCs w:val="21"/>
        </w:rPr>
        <w:fldChar w:fldCharType="end"/>
      </w:r>
    </w:p>
    <w:p w14:paraId="71EE0477">
      <w:pPr>
        <w:spacing w:line="360" w:lineRule="auto"/>
        <w:ind w:firstLine="6"/>
        <w:rPr>
          <w:sz w:val="28"/>
          <w:szCs w:val="28"/>
        </w:rPr>
      </w:pPr>
    </w:p>
    <w:p w14:paraId="610A4DBA">
      <w:pPr>
        <w:ind w:left="-2" w:leftChars="-1" w:firstLine="1"/>
        <w:rPr>
          <w:rFonts w:hint="default" w:eastAsia="宋体"/>
          <w:sz w:val="24"/>
          <w:lang w:val="en-US" w:eastAsia="zh-CN"/>
        </w:rPr>
      </w:pPr>
      <w:r>
        <w:rPr>
          <w:rFonts w:hint="eastAsia"/>
          <w:sz w:val="24"/>
        </w:rPr>
        <w:t>一、</w:t>
      </w:r>
      <w:r>
        <w:rPr>
          <w:rFonts w:hint="eastAsia"/>
          <w:sz w:val="24"/>
          <w:lang w:val="en-US" w:eastAsia="zh-CN"/>
        </w:rPr>
        <w:t>Course Overview</w:t>
      </w:r>
    </w:p>
    <w:p w14:paraId="5F76A68A">
      <w:pPr>
        <w:ind w:left="-2" w:leftChars="-1" w:firstLine="1"/>
        <w:rPr>
          <w:sz w:val="24"/>
        </w:rPr>
      </w:pPr>
    </w:p>
    <w:tbl>
      <w:tblPr>
        <w:tblStyle w:val="4"/>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161"/>
        <w:gridCol w:w="257"/>
        <w:gridCol w:w="1302"/>
        <w:gridCol w:w="257"/>
        <w:gridCol w:w="580"/>
        <w:gridCol w:w="838"/>
        <w:gridCol w:w="141"/>
        <w:gridCol w:w="284"/>
        <w:gridCol w:w="850"/>
        <w:gridCol w:w="1247"/>
      </w:tblGrid>
      <w:tr w14:paraId="2F62B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96" w:type="dxa"/>
          </w:tcPr>
          <w:p w14:paraId="71BD8D85">
            <w:pPr>
              <w:spacing w:before="78" w:beforeLines="25" w:after="78" w:afterLines="25"/>
              <w:ind w:firstLine="6"/>
              <w:rPr>
                <w:bCs/>
                <w:sz w:val="24"/>
              </w:rPr>
            </w:pPr>
            <w:r>
              <w:rPr>
                <w:bCs/>
                <w:sz w:val="24"/>
              </w:rPr>
              <w:t>Course number</w:t>
            </w:r>
          </w:p>
        </w:tc>
        <w:tc>
          <w:tcPr>
            <w:tcW w:w="1418" w:type="dxa"/>
            <w:gridSpan w:val="2"/>
          </w:tcPr>
          <w:p w14:paraId="4AC2E4E2">
            <w:pPr>
              <w:spacing w:before="78" w:beforeLines="25" w:after="78" w:afterLines="25"/>
              <w:ind w:firstLine="6"/>
              <w:jc w:val="center"/>
              <w:rPr>
                <w:bCs/>
                <w:sz w:val="24"/>
              </w:rPr>
            </w:pPr>
            <w:r>
              <w:rPr>
                <w:bCs/>
                <w:sz w:val="24"/>
              </w:rPr>
              <w:t>40511423</w:t>
            </w:r>
          </w:p>
        </w:tc>
        <w:tc>
          <w:tcPr>
            <w:tcW w:w="1559" w:type="dxa"/>
            <w:gridSpan w:val="2"/>
          </w:tcPr>
          <w:p w14:paraId="53EC4028">
            <w:pPr>
              <w:spacing w:before="78" w:beforeLines="25" w:after="78" w:afterLines="25"/>
              <w:ind w:firstLine="6"/>
              <w:jc w:val="center"/>
              <w:rPr>
                <w:sz w:val="24"/>
              </w:rPr>
            </w:pPr>
            <w:r>
              <w:rPr>
                <w:bCs/>
                <w:sz w:val="24"/>
              </w:rPr>
              <w:t>Course name</w:t>
            </w:r>
          </w:p>
        </w:tc>
        <w:tc>
          <w:tcPr>
            <w:tcW w:w="1418" w:type="dxa"/>
            <w:gridSpan w:val="2"/>
          </w:tcPr>
          <w:p w14:paraId="0E4601A0">
            <w:pPr>
              <w:spacing w:before="78" w:beforeLines="25" w:after="78" w:afterLines="25"/>
              <w:ind w:firstLine="6"/>
              <w:jc w:val="center"/>
              <w:rPr>
                <w:sz w:val="24"/>
              </w:rPr>
            </w:pPr>
            <w:r>
              <w:rPr>
                <w:sz w:val="24"/>
              </w:rPr>
              <w:t>Investment</w:t>
            </w:r>
          </w:p>
        </w:tc>
        <w:tc>
          <w:tcPr>
            <w:tcW w:w="1275" w:type="dxa"/>
            <w:gridSpan w:val="3"/>
          </w:tcPr>
          <w:p w14:paraId="30E0F98C">
            <w:pPr>
              <w:spacing w:before="78" w:beforeLines="25" w:after="78" w:afterLines="25"/>
              <w:ind w:firstLine="6"/>
              <w:jc w:val="center"/>
              <w:rPr>
                <w:sz w:val="24"/>
              </w:rPr>
            </w:pPr>
            <w:r>
              <w:rPr>
                <w:sz w:val="24"/>
              </w:rPr>
              <w:t>School</w:t>
            </w:r>
          </w:p>
        </w:tc>
        <w:tc>
          <w:tcPr>
            <w:tcW w:w="1247" w:type="dxa"/>
          </w:tcPr>
          <w:p w14:paraId="29FE3F7A">
            <w:pPr>
              <w:spacing w:before="78" w:beforeLines="25" w:after="78" w:afterLines="25"/>
              <w:ind w:firstLine="6"/>
              <w:jc w:val="center"/>
              <w:rPr>
                <w:sz w:val="24"/>
              </w:rPr>
            </w:pPr>
            <w:r>
              <w:rPr>
                <w:sz w:val="24"/>
              </w:rPr>
              <w:t>SEM</w:t>
            </w:r>
          </w:p>
        </w:tc>
      </w:tr>
      <w:tr w14:paraId="7EFFE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0" w:hRule="atLeast"/>
          <w:jc w:val="center"/>
        </w:trPr>
        <w:tc>
          <w:tcPr>
            <w:tcW w:w="1696" w:type="dxa"/>
            <w:vAlign w:val="center"/>
          </w:tcPr>
          <w:p w14:paraId="42E1B5AB">
            <w:pPr>
              <w:spacing w:before="78" w:beforeLines="25" w:after="78" w:afterLines="25"/>
              <w:ind w:firstLine="6"/>
              <w:rPr>
                <w:bCs/>
                <w:sz w:val="24"/>
              </w:rPr>
            </w:pPr>
            <w:r>
              <w:rPr>
                <w:bCs/>
                <w:sz w:val="24"/>
              </w:rPr>
              <w:t>Objective</w:t>
            </w:r>
          </w:p>
        </w:tc>
        <w:tc>
          <w:tcPr>
            <w:tcW w:w="6917" w:type="dxa"/>
            <w:gridSpan w:val="10"/>
          </w:tcPr>
          <w:p w14:paraId="4442DCC5">
            <w:pPr>
              <w:spacing w:before="78" w:beforeLines="25" w:after="78" w:afterLines="25"/>
              <w:ind w:firstLine="240" w:firstLineChars="100"/>
              <w:rPr>
                <w:sz w:val="24"/>
              </w:rPr>
            </w:pPr>
            <w:r>
              <w:rPr>
                <w:sz w:val="24"/>
              </w:rPr>
              <w:t xml:space="preserve">Help Student to understand the basic principles, analytical and valuation tools for investment in financial markets. </w:t>
            </w:r>
          </w:p>
          <w:p w14:paraId="58BEDFB6">
            <w:pPr>
              <w:spacing w:before="78" w:beforeLines="25" w:after="78" w:afterLines="25"/>
              <w:ind w:firstLine="240" w:firstLineChars="100"/>
              <w:rPr>
                <w:sz w:val="24"/>
              </w:rPr>
            </w:pPr>
            <w:r>
              <w:rPr>
                <w:sz w:val="24"/>
              </w:rPr>
              <w:t>Students will understand the nature and trading process of securities, notion of risk and return, diversification, portfolio efficiency, market efficiency, popular asset pricing models. and valuation methods for investment products such as stocks and bonds. They will also understand the financial markets, financial intermediations, and asset pricing methodology.</w:t>
            </w:r>
          </w:p>
        </w:tc>
      </w:tr>
      <w:tr w14:paraId="592F3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96" w:type="dxa"/>
            <w:vAlign w:val="center"/>
          </w:tcPr>
          <w:p w14:paraId="347BFF95">
            <w:pPr>
              <w:spacing w:before="78" w:beforeLines="25" w:after="78" w:afterLines="25"/>
              <w:rPr>
                <w:sz w:val="24"/>
              </w:rPr>
            </w:pPr>
            <w:r>
              <w:rPr>
                <w:sz w:val="24"/>
              </w:rPr>
              <w:t>Professor</w:t>
            </w:r>
          </w:p>
        </w:tc>
        <w:tc>
          <w:tcPr>
            <w:tcW w:w="6917" w:type="dxa"/>
            <w:gridSpan w:val="10"/>
          </w:tcPr>
          <w:p w14:paraId="1FF62AE5">
            <w:pPr>
              <w:spacing w:before="78" w:beforeLines="25" w:after="78" w:afterLines="25"/>
              <w:rPr>
                <w:sz w:val="24"/>
              </w:rPr>
            </w:pPr>
            <w:r>
              <w:rPr>
                <w:sz w:val="24"/>
              </w:rPr>
              <w:t>Yingzi Zhu</w:t>
            </w:r>
          </w:p>
        </w:tc>
      </w:tr>
      <w:tr w14:paraId="093F7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96" w:type="dxa"/>
            <w:vAlign w:val="center"/>
          </w:tcPr>
          <w:p w14:paraId="0EC48A7A">
            <w:pPr>
              <w:spacing w:before="78" w:beforeLines="25" w:after="78" w:afterLines="25"/>
              <w:ind w:firstLine="6"/>
              <w:rPr>
                <w:bCs/>
                <w:sz w:val="24"/>
              </w:rPr>
            </w:pPr>
            <w:r>
              <w:rPr>
                <w:bCs/>
                <w:sz w:val="24"/>
              </w:rPr>
              <w:t>TA</w:t>
            </w:r>
          </w:p>
        </w:tc>
        <w:tc>
          <w:tcPr>
            <w:tcW w:w="6917" w:type="dxa"/>
            <w:gridSpan w:val="10"/>
          </w:tcPr>
          <w:p w14:paraId="3CDE2131">
            <w:pPr>
              <w:spacing w:before="78" w:beforeLines="25" w:after="78" w:afterLines="25"/>
              <w:rPr>
                <w:rFonts w:hint="default" w:eastAsia="宋体"/>
                <w:sz w:val="24"/>
                <w:lang w:val="en-US" w:eastAsia="zh-CN"/>
              </w:rPr>
            </w:pPr>
            <w:r>
              <w:rPr>
                <w:rFonts w:hint="eastAsia"/>
                <w:sz w:val="24"/>
                <w:lang w:val="en-US" w:eastAsia="zh-CN"/>
              </w:rPr>
              <w:t>TBA</w:t>
            </w:r>
          </w:p>
        </w:tc>
      </w:tr>
      <w:tr w14:paraId="7DF94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5" w:hRule="atLeast"/>
          <w:jc w:val="center"/>
        </w:trPr>
        <w:tc>
          <w:tcPr>
            <w:tcW w:w="1696" w:type="dxa"/>
            <w:vAlign w:val="center"/>
          </w:tcPr>
          <w:p w14:paraId="1B888BFB">
            <w:pPr>
              <w:spacing w:before="78" w:beforeLines="25" w:after="78" w:afterLines="25"/>
              <w:rPr>
                <w:bCs/>
                <w:sz w:val="24"/>
              </w:rPr>
            </w:pPr>
            <w:r>
              <w:rPr>
                <w:rFonts w:hint="eastAsia"/>
                <w:bCs/>
                <w:sz w:val="24"/>
              </w:rPr>
              <w:t>Credit</w:t>
            </w:r>
          </w:p>
        </w:tc>
        <w:tc>
          <w:tcPr>
            <w:tcW w:w="1161" w:type="dxa"/>
          </w:tcPr>
          <w:p w14:paraId="226EA4B4">
            <w:pPr>
              <w:spacing w:before="78" w:beforeLines="25" w:after="78" w:afterLines="25"/>
              <w:jc w:val="center"/>
              <w:rPr>
                <w:bCs/>
                <w:sz w:val="24"/>
              </w:rPr>
            </w:pPr>
            <w:r>
              <w:rPr>
                <w:bCs/>
                <w:sz w:val="24"/>
              </w:rPr>
              <w:t>3</w:t>
            </w:r>
          </w:p>
        </w:tc>
        <w:tc>
          <w:tcPr>
            <w:tcW w:w="1559" w:type="dxa"/>
            <w:gridSpan w:val="2"/>
          </w:tcPr>
          <w:p w14:paraId="2FBF15C3">
            <w:pPr>
              <w:jc w:val="center"/>
              <w:rPr>
                <w:bCs/>
                <w:sz w:val="24"/>
              </w:rPr>
            </w:pPr>
            <w:r>
              <w:rPr>
                <w:rFonts w:hint="eastAsia"/>
                <w:bCs/>
                <w:sz w:val="24"/>
                <w:lang w:val="en-US" w:eastAsia="zh-CN"/>
              </w:rPr>
              <w:t>Total hours</w:t>
            </w:r>
            <w:r>
              <w:rPr>
                <w:bCs/>
                <w:sz w:val="24"/>
              </w:rPr>
              <w:t>（</w:t>
            </w:r>
            <w:r>
              <w:rPr>
                <w:rFonts w:hint="eastAsia"/>
                <w:bCs/>
                <w:sz w:val="24"/>
                <w:lang w:val="en-US" w:eastAsia="zh-CN"/>
              </w:rPr>
              <w:t>lecture</w:t>
            </w:r>
            <w:r>
              <w:rPr>
                <w:bCs/>
                <w:sz w:val="24"/>
              </w:rPr>
              <w:t>+</w:t>
            </w:r>
            <w:r>
              <w:rPr>
                <w:rFonts w:hint="eastAsia"/>
                <w:bCs/>
                <w:sz w:val="24"/>
                <w:lang w:val="en-US" w:eastAsia="zh-CN"/>
              </w:rPr>
              <w:t>case study</w:t>
            </w:r>
            <w:r>
              <w:rPr>
                <w:bCs/>
                <w:sz w:val="24"/>
              </w:rPr>
              <w:t>）</w:t>
            </w:r>
          </w:p>
        </w:tc>
        <w:tc>
          <w:tcPr>
            <w:tcW w:w="837" w:type="dxa"/>
            <w:gridSpan w:val="2"/>
          </w:tcPr>
          <w:p w14:paraId="70775460">
            <w:pPr>
              <w:spacing w:before="78" w:beforeLines="25" w:after="78" w:afterLines="25"/>
              <w:jc w:val="center"/>
              <w:rPr>
                <w:bCs/>
                <w:sz w:val="24"/>
              </w:rPr>
            </w:pPr>
            <w:r>
              <w:rPr>
                <w:bCs/>
                <w:sz w:val="24"/>
              </w:rPr>
              <w:t>48(3</w:t>
            </w:r>
            <w:r>
              <w:rPr>
                <w:rFonts w:hint="eastAsia"/>
                <w:bCs/>
                <w:sz w:val="24"/>
              </w:rPr>
              <w:t>6</w:t>
            </w:r>
            <w:r>
              <w:rPr>
                <w:bCs/>
                <w:sz w:val="24"/>
              </w:rPr>
              <w:t>+1</w:t>
            </w:r>
            <w:r>
              <w:rPr>
                <w:rFonts w:hint="eastAsia"/>
                <w:bCs/>
                <w:sz w:val="24"/>
              </w:rPr>
              <w:t>2</w:t>
            </w:r>
            <w:r>
              <w:rPr>
                <w:bCs/>
                <w:sz w:val="24"/>
              </w:rPr>
              <w:t>)</w:t>
            </w:r>
          </w:p>
        </w:tc>
        <w:tc>
          <w:tcPr>
            <w:tcW w:w="979" w:type="dxa"/>
            <w:gridSpan w:val="2"/>
          </w:tcPr>
          <w:p w14:paraId="46BE7445">
            <w:pPr>
              <w:spacing w:before="78" w:beforeLines="25" w:after="78" w:afterLines="25"/>
              <w:jc w:val="center"/>
              <w:rPr>
                <w:rFonts w:hint="default" w:eastAsia="宋体"/>
                <w:bCs/>
                <w:sz w:val="24"/>
                <w:lang w:val="en-US" w:eastAsia="zh-CN"/>
              </w:rPr>
            </w:pPr>
            <w:r>
              <w:rPr>
                <w:rFonts w:hint="eastAsia"/>
                <w:bCs/>
                <w:sz w:val="24"/>
                <w:lang w:val="en-US" w:eastAsia="zh-CN"/>
              </w:rPr>
              <w:t>Lecture hours per week</w:t>
            </w:r>
          </w:p>
        </w:tc>
        <w:tc>
          <w:tcPr>
            <w:tcW w:w="284" w:type="dxa"/>
          </w:tcPr>
          <w:p w14:paraId="21D4A6EB">
            <w:pPr>
              <w:spacing w:before="78" w:beforeLines="25" w:after="78" w:afterLines="25"/>
              <w:jc w:val="center"/>
              <w:rPr>
                <w:bCs/>
                <w:sz w:val="24"/>
              </w:rPr>
            </w:pPr>
            <w:r>
              <w:rPr>
                <w:bCs/>
                <w:sz w:val="24"/>
              </w:rPr>
              <w:t>3</w:t>
            </w:r>
          </w:p>
        </w:tc>
        <w:tc>
          <w:tcPr>
            <w:tcW w:w="2097" w:type="dxa"/>
            <w:gridSpan w:val="2"/>
          </w:tcPr>
          <w:p w14:paraId="333A124A">
            <w:pPr>
              <w:ind w:firstLine="120" w:firstLineChars="50"/>
              <w:rPr>
                <w:bCs/>
                <w:sz w:val="24"/>
              </w:rPr>
            </w:pPr>
            <w:r>
              <w:rPr>
                <w:bCs/>
                <w:sz w:val="24"/>
                <w:u w:val="single"/>
              </w:rPr>
              <w:t xml:space="preserve"> 3</w:t>
            </w:r>
            <w:r>
              <w:rPr>
                <w:rFonts w:hint="eastAsia"/>
                <w:bCs/>
                <w:sz w:val="24"/>
                <w:u w:val="single"/>
              </w:rPr>
              <w:t>6</w:t>
            </w:r>
            <w:r>
              <w:rPr>
                <w:bCs/>
                <w:sz w:val="24"/>
                <w:u w:val="single"/>
              </w:rPr>
              <w:t xml:space="preserve"> </w:t>
            </w:r>
            <w:r>
              <w:rPr>
                <w:bCs/>
                <w:sz w:val="24"/>
              </w:rPr>
              <w:t>/</w:t>
            </w:r>
            <w:r>
              <w:rPr>
                <w:bCs/>
                <w:sz w:val="24"/>
                <w:u w:val="single"/>
              </w:rPr>
              <w:t xml:space="preserve"> 1</w:t>
            </w:r>
            <w:r>
              <w:rPr>
                <w:rFonts w:hint="eastAsia"/>
                <w:bCs/>
                <w:sz w:val="24"/>
                <w:u w:val="single"/>
              </w:rPr>
              <w:t>2</w:t>
            </w:r>
            <w:r>
              <w:rPr>
                <w:bCs/>
                <w:sz w:val="24"/>
                <w:u w:val="single"/>
              </w:rPr>
              <w:t xml:space="preserve"> </w:t>
            </w:r>
            <w:r>
              <w:rPr>
                <w:bCs/>
                <w:sz w:val="24"/>
              </w:rPr>
              <w:t>/</w:t>
            </w:r>
            <w:r>
              <w:rPr>
                <w:bCs/>
                <w:sz w:val="24"/>
                <w:u w:val="single"/>
              </w:rPr>
              <w:t xml:space="preserve"> </w:t>
            </w:r>
            <w:r>
              <w:rPr>
                <w:rFonts w:hint="eastAsia"/>
                <w:bCs/>
                <w:sz w:val="24"/>
                <w:u w:val="single"/>
                <w:lang w:val="en-US" w:eastAsia="zh-CN"/>
              </w:rPr>
              <w:t>48</w:t>
            </w:r>
            <w:r>
              <w:rPr>
                <w:bCs/>
                <w:sz w:val="24"/>
                <w:u w:val="single"/>
              </w:rPr>
              <w:t xml:space="preserve"> </w:t>
            </w:r>
          </w:p>
          <w:p w14:paraId="40633E66">
            <w:pPr>
              <w:jc w:val="center"/>
              <w:rPr>
                <w:bCs/>
                <w:sz w:val="24"/>
              </w:rPr>
            </w:pPr>
            <w:r>
              <w:rPr>
                <w:bCs/>
                <w:sz w:val="24"/>
              </w:rPr>
              <w:t>（</w:t>
            </w:r>
            <w:r>
              <w:rPr>
                <w:rFonts w:hint="eastAsia"/>
                <w:bCs/>
                <w:sz w:val="24"/>
                <w:lang w:val="en-US" w:eastAsia="zh-CN"/>
              </w:rPr>
              <w:t>lecture</w:t>
            </w:r>
            <w:r>
              <w:rPr>
                <w:bCs/>
                <w:sz w:val="24"/>
              </w:rPr>
              <w:t>/</w:t>
            </w:r>
            <w:r>
              <w:rPr>
                <w:rFonts w:hint="eastAsia"/>
                <w:bCs/>
                <w:sz w:val="24"/>
                <w:lang w:val="en-US" w:eastAsia="zh-CN"/>
              </w:rPr>
              <w:t>case study</w:t>
            </w:r>
            <w:r>
              <w:rPr>
                <w:bCs/>
                <w:sz w:val="24"/>
              </w:rPr>
              <w:t>/</w:t>
            </w:r>
            <w:r>
              <w:rPr>
                <w:rFonts w:hint="eastAsia"/>
                <w:bCs/>
                <w:sz w:val="24"/>
                <w:lang w:val="en-US" w:eastAsia="zh-CN"/>
              </w:rPr>
              <w:t>self study</w:t>
            </w:r>
            <w:r>
              <w:rPr>
                <w:bCs/>
                <w:sz w:val="24"/>
              </w:rPr>
              <w:t>）</w:t>
            </w:r>
          </w:p>
        </w:tc>
      </w:tr>
      <w:tr w14:paraId="166A5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1696" w:type="dxa"/>
            <w:vAlign w:val="center"/>
          </w:tcPr>
          <w:p w14:paraId="71BCEDB8">
            <w:pPr>
              <w:spacing w:before="78" w:beforeLines="25" w:after="78" w:afterLines="25"/>
              <w:ind w:firstLine="6"/>
              <w:rPr>
                <w:bCs/>
                <w:sz w:val="24"/>
              </w:rPr>
            </w:pPr>
            <w:r>
              <w:rPr>
                <w:rFonts w:hint="eastAsia"/>
                <w:bCs/>
                <w:sz w:val="24"/>
              </w:rPr>
              <w:t>Language</w:t>
            </w:r>
          </w:p>
        </w:tc>
        <w:tc>
          <w:tcPr>
            <w:tcW w:w="6917" w:type="dxa"/>
            <w:gridSpan w:val="10"/>
          </w:tcPr>
          <w:p w14:paraId="5AFCFA73">
            <w:pPr>
              <w:spacing w:before="78" w:beforeLines="25" w:after="78" w:afterLines="25"/>
              <w:rPr>
                <w:sz w:val="24"/>
              </w:rPr>
            </w:pPr>
            <w:r>
              <w:rPr>
                <w:rFonts w:hint="eastAsia"/>
                <w:sz w:val="24"/>
              </w:rPr>
              <w:t>English</w:t>
            </w:r>
          </w:p>
        </w:tc>
      </w:tr>
      <w:tr w14:paraId="3E5FC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3" w:hRule="atLeast"/>
          <w:jc w:val="center"/>
        </w:trPr>
        <w:tc>
          <w:tcPr>
            <w:tcW w:w="1696" w:type="dxa"/>
            <w:vAlign w:val="center"/>
          </w:tcPr>
          <w:p w14:paraId="66E73089">
            <w:pPr>
              <w:spacing w:before="78" w:beforeLines="25" w:after="78" w:afterLines="25"/>
              <w:ind w:firstLine="6"/>
              <w:rPr>
                <w:bCs/>
                <w:sz w:val="24"/>
              </w:rPr>
            </w:pPr>
            <w:r>
              <w:rPr>
                <w:rFonts w:hint="eastAsia"/>
                <w:bCs/>
                <w:sz w:val="24"/>
              </w:rPr>
              <w:t>Required text</w:t>
            </w:r>
          </w:p>
        </w:tc>
        <w:tc>
          <w:tcPr>
            <w:tcW w:w="6917" w:type="dxa"/>
            <w:gridSpan w:val="10"/>
          </w:tcPr>
          <w:p w14:paraId="307F8CAD">
            <w:pPr>
              <w:spacing w:before="78" w:beforeLines="25" w:after="78" w:afterLines="25"/>
              <w:ind w:firstLine="6"/>
              <w:rPr>
                <w:bCs/>
                <w:sz w:val="24"/>
              </w:rPr>
            </w:pPr>
            <w:r>
              <w:rPr>
                <w:bCs/>
                <w:sz w:val="24"/>
              </w:rPr>
              <w:t>Boadie/Kane/Marcus Investment, 11</w:t>
            </w:r>
            <w:r>
              <w:rPr>
                <w:bCs/>
                <w:sz w:val="24"/>
                <w:vertAlign w:val="superscript"/>
              </w:rPr>
              <w:t>th</w:t>
            </w:r>
            <w:r>
              <w:rPr>
                <w:bCs/>
                <w:sz w:val="24"/>
              </w:rPr>
              <w:t xml:space="preserve"> Ed</w:t>
            </w:r>
          </w:p>
        </w:tc>
      </w:tr>
      <w:tr w14:paraId="3E9C6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 w:hRule="atLeast"/>
          <w:jc w:val="center"/>
        </w:trPr>
        <w:tc>
          <w:tcPr>
            <w:tcW w:w="1696" w:type="dxa"/>
            <w:vAlign w:val="center"/>
          </w:tcPr>
          <w:p w14:paraId="506223CC">
            <w:pPr>
              <w:spacing w:before="78" w:beforeLines="25" w:after="78" w:afterLines="25"/>
              <w:ind w:firstLine="6"/>
              <w:rPr>
                <w:bCs/>
                <w:sz w:val="24"/>
              </w:rPr>
            </w:pPr>
            <w:r>
              <w:rPr>
                <w:rFonts w:hint="eastAsia"/>
                <w:bCs/>
                <w:sz w:val="24"/>
              </w:rPr>
              <w:t>Prerequisite</w:t>
            </w:r>
          </w:p>
        </w:tc>
        <w:tc>
          <w:tcPr>
            <w:tcW w:w="6917" w:type="dxa"/>
            <w:gridSpan w:val="10"/>
          </w:tcPr>
          <w:p w14:paraId="46F49F60">
            <w:pPr>
              <w:spacing w:before="78" w:beforeLines="25" w:after="78" w:afterLines="25"/>
              <w:rPr>
                <w:bCs/>
                <w:sz w:val="24"/>
              </w:rPr>
            </w:pPr>
            <w:r>
              <w:rPr>
                <w:rFonts w:hint="eastAsia"/>
                <w:bCs/>
                <w:sz w:val="24"/>
              </w:rPr>
              <w:t>None</w:t>
            </w:r>
          </w:p>
        </w:tc>
      </w:tr>
      <w:tr w14:paraId="19FE9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 w:hRule="atLeast"/>
          <w:jc w:val="center"/>
        </w:trPr>
        <w:tc>
          <w:tcPr>
            <w:tcW w:w="1696" w:type="dxa"/>
            <w:vAlign w:val="center"/>
          </w:tcPr>
          <w:p w14:paraId="768DBCD7">
            <w:pPr>
              <w:spacing w:before="78" w:beforeLines="25" w:after="78" w:afterLines="25"/>
              <w:ind w:firstLine="6"/>
              <w:rPr>
                <w:bCs/>
                <w:sz w:val="24"/>
              </w:rPr>
            </w:pPr>
            <w:r>
              <w:rPr>
                <w:rFonts w:hint="eastAsia"/>
                <w:bCs/>
                <w:sz w:val="24"/>
              </w:rPr>
              <w:t>Level</w:t>
            </w:r>
          </w:p>
        </w:tc>
        <w:tc>
          <w:tcPr>
            <w:tcW w:w="6917" w:type="dxa"/>
            <w:gridSpan w:val="10"/>
          </w:tcPr>
          <w:p w14:paraId="1880458B">
            <w:pPr>
              <w:spacing w:before="78" w:beforeLines="25" w:after="78" w:afterLines="25"/>
              <w:rPr>
                <w:bCs/>
                <w:sz w:val="24"/>
              </w:rPr>
            </w:pPr>
            <w:r>
              <w:rPr>
                <w:rFonts w:hint="eastAsia"/>
                <w:bCs/>
                <w:sz w:val="24"/>
              </w:rPr>
              <w:t>Undergraduate</w:t>
            </w:r>
          </w:p>
        </w:tc>
      </w:tr>
    </w:tbl>
    <w:p w14:paraId="20F8E2F2">
      <w:pPr>
        <w:ind w:left="-2" w:leftChars="-1" w:firstLine="1"/>
        <w:rPr>
          <w:sz w:val="24"/>
        </w:rPr>
      </w:pPr>
    </w:p>
    <w:p w14:paraId="4E8C7D4E">
      <w:pPr>
        <w:ind w:left="-2" w:leftChars="-1" w:firstLine="1"/>
        <w:rPr>
          <w:sz w:val="24"/>
        </w:rPr>
      </w:pPr>
      <w:r>
        <w:rPr>
          <w:rFonts w:hint="eastAsia"/>
          <w:sz w:val="24"/>
        </w:rPr>
        <w:t>二、Course Description</w:t>
      </w:r>
    </w:p>
    <w:p w14:paraId="4D543F80">
      <w:pPr>
        <w:ind w:left="-2" w:leftChars="-1" w:firstLine="1"/>
        <w:rPr>
          <w:sz w:val="24"/>
        </w:rPr>
      </w:pPr>
    </w:p>
    <w:tbl>
      <w:tblPr>
        <w:tblStyle w:val="4"/>
        <w:tblW w:w="8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0"/>
      </w:tblGrid>
      <w:tr w14:paraId="4162F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8340" w:type="dxa"/>
          </w:tcPr>
          <w:p w14:paraId="77AE3D9C">
            <w:pPr>
              <w:numPr>
                <w:ilvl w:val="0"/>
                <w:numId w:val="1"/>
              </w:numPr>
              <w:ind w:left="420" w:leftChars="200"/>
              <w:rPr>
                <w:rFonts w:ascii="ˎ̥" w:hAnsi="ˎ̥"/>
                <w:sz w:val="22"/>
                <w:szCs w:val="22"/>
              </w:rPr>
            </w:pPr>
            <w:r>
              <w:rPr>
                <w:rFonts w:hint="eastAsia" w:ascii="ˎ̥" w:hAnsi="ˎ̥"/>
                <w:sz w:val="22"/>
                <w:szCs w:val="22"/>
              </w:rPr>
              <w:t>Investment environment</w:t>
            </w:r>
          </w:p>
          <w:p w14:paraId="21D12969">
            <w:pPr>
              <w:numPr>
                <w:ilvl w:val="0"/>
                <w:numId w:val="1"/>
              </w:numPr>
              <w:ind w:left="420" w:leftChars="200"/>
              <w:rPr>
                <w:rFonts w:ascii="ˎ̥" w:hAnsi="ˎ̥"/>
                <w:sz w:val="22"/>
                <w:szCs w:val="22"/>
              </w:rPr>
            </w:pPr>
            <w:r>
              <w:rPr>
                <w:rFonts w:hint="eastAsia" w:ascii="ˎ̥" w:hAnsi="ˎ̥"/>
                <w:sz w:val="22"/>
                <w:szCs w:val="22"/>
              </w:rPr>
              <w:t>S</w:t>
            </w:r>
            <w:r>
              <w:rPr>
                <w:rFonts w:ascii="ˎ̥" w:hAnsi="ˎ̥"/>
                <w:sz w:val="22"/>
                <w:szCs w:val="22"/>
              </w:rPr>
              <w:t xml:space="preserve">ecurity markets and financial instruments </w:t>
            </w:r>
          </w:p>
          <w:p w14:paraId="30E684A5">
            <w:pPr>
              <w:numPr>
                <w:ilvl w:val="0"/>
                <w:numId w:val="1"/>
              </w:numPr>
              <w:ind w:left="420" w:leftChars="200"/>
              <w:rPr>
                <w:rFonts w:ascii="ˎ̥" w:hAnsi="ˎ̥"/>
                <w:sz w:val="22"/>
                <w:szCs w:val="22"/>
              </w:rPr>
            </w:pPr>
            <w:r>
              <w:rPr>
                <w:rFonts w:hint="eastAsia" w:ascii="ˎ̥" w:hAnsi="ˎ̥"/>
                <w:sz w:val="22"/>
                <w:szCs w:val="22"/>
              </w:rPr>
              <w:t>Investment process &amp; mutual funds</w:t>
            </w:r>
          </w:p>
          <w:p w14:paraId="58A04EF9">
            <w:pPr>
              <w:numPr>
                <w:ilvl w:val="0"/>
                <w:numId w:val="1"/>
              </w:numPr>
              <w:ind w:left="420" w:leftChars="200"/>
              <w:rPr>
                <w:rFonts w:ascii="ˎ̥" w:hAnsi="ˎ̥"/>
                <w:sz w:val="22"/>
                <w:szCs w:val="22"/>
              </w:rPr>
            </w:pPr>
            <w:r>
              <w:rPr>
                <w:rFonts w:hint="eastAsia" w:ascii="ˎ̥" w:hAnsi="ˎ̥"/>
                <w:sz w:val="22"/>
                <w:szCs w:val="22"/>
              </w:rPr>
              <w:t>Risk and Return</w:t>
            </w:r>
          </w:p>
          <w:p w14:paraId="71A63A75">
            <w:pPr>
              <w:numPr>
                <w:ilvl w:val="0"/>
                <w:numId w:val="1"/>
              </w:numPr>
              <w:ind w:left="420" w:leftChars="200"/>
              <w:rPr>
                <w:rFonts w:ascii="ˎ̥" w:hAnsi="ˎ̥"/>
                <w:sz w:val="22"/>
                <w:szCs w:val="22"/>
              </w:rPr>
            </w:pPr>
            <w:r>
              <w:rPr>
                <w:rFonts w:hint="eastAsia" w:ascii="ˎ̥" w:hAnsi="ˎ̥"/>
                <w:sz w:val="22"/>
                <w:szCs w:val="22"/>
              </w:rPr>
              <w:t>Optimal risky portfolio</w:t>
            </w:r>
            <w:r>
              <w:rPr>
                <w:rFonts w:ascii="ˎ̥" w:hAnsi="ˎ̥"/>
                <w:sz w:val="22"/>
                <w:szCs w:val="22"/>
              </w:rPr>
              <w:t xml:space="preserve"> </w:t>
            </w:r>
          </w:p>
          <w:p w14:paraId="04E35136">
            <w:pPr>
              <w:numPr>
                <w:ilvl w:val="0"/>
                <w:numId w:val="1"/>
              </w:numPr>
              <w:ind w:left="420" w:leftChars="200"/>
              <w:rPr>
                <w:rFonts w:ascii="ˎ̥" w:hAnsi="ˎ̥"/>
                <w:sz w:val="22"/>
                <w:szCs w:val="22"/>
              </w:rPr>
            </w:pPr>
            <w:r>
              <w:rPr>
                <w:rFonts w:ascii="ˎ̥" w:hAnsi="ˎ̥"/>
                <w:sz w:val="22"/>
                <w:szCs w:val="22"/>
              </w:rPr>
              <w:t>Capital Asset Pricing model</w:t>
            </w:r>
            <w:r>
              <w:rPr>
                <w:rFonts w:hint="eastAsia" w:ascii="ˎ̥" w:hAnsi="ˎ̥"/>
                <w:sz w:val="22"/>
                <w:szCs w:val="22"/>
              </w:rPr>
              <w:t>/Arbitrage Pricing Theory</w:t>
            </w:r>
          </w:p>
          <w:p w14:paraId="09ED6BF0">
            <w:pPr>
              <w:numPr>
                <w:ilvl w:val="0"/>
                <w:numId w:val="1"/>
              </w:numPr>
              <w:ind w:left="420" w:leftChars="200"/>
              <w:rPr>
                <w:rFonts w:ascii="ˎ̥" w:hAnsi="ˎ̥"/>
                <w:sz w:val="22"/>
                <w:szCs w:val="22"/>
              </w:rPr>
            </w:pPr>
            <w:r>
              <w:rPr>
                <w:rFonts w:hint="eastAsia" w:ascii="ˎ̥" w:hAnsi="ˎ̥"/>
                <w:sz w:val="22"/>
                <w:szCs w:val="22"/>
              </w:rPr>
              <w:t>market efficiency</w:t>
            </w:r>
            <w:r>
              <w:rPr>
                <w:rFonts w:ascii="ˎ̥" w:hAnsi="ˎ̥"/>
                <w:sz w:val="22"/>
                <w:szCs w:val="22"/>
              </w:rPr>
              <w:t xml:space="preserve"> </w:t>
            </w:r>
          </w:p>
          <w:p w14:paraId="29E6DF9A">
            <w:pPr>
              <w:numPr>
                <w:ilvl w:val="0"/>
                <w:numId w:val="1"/>
              </w:numPr>
              <w:ind w:left="420" w:leftChars="200"/>
              <w:rPr>
                <w:rFonts w:ascii="ˎ̥" w:hAnsi="ˎ̥"/>
                <w:sz w:val="22"/>
                <w:szCs w:val="22"/>
              </w:rPr>
            </w:pPr>
            <w:r>
              <w:rPr>
                <w:rFonts w:hint="eastAsia" w:ascii="ˎ̥" w:hAnsi="ˎ̥"/>
                <w:sz w:val="22"/>
                <w:szCs w:val="22"/>
              </w:rPr>
              <w:t>Bond valuation</w:t>
            </w:r>
          </w:p>
          <w:p w14:paraId="55E9D87E">
            <w:pPr>
              <w:numPr>
                <w:ilvl w:val="0"/>
                <w:numId w:val="1"/>
              </w:numPr>
              <w:ind w:left="420" w:leftChars="200"/>
              <w:rPr>
                <w:rFonts w:ascii="ˎ̥" w:hAnsi="ˎ̥"/>
                <w:sz w:val="22"/>
                <w:szCs w:val="22"/>
              </w:rPr>
            </w:pPr>
            <w:r>
              <w:rPr>
                <w:rFonts w:hint="eastAsia" w:ascii="ˎ̥" w:hAnsi="ˎ̥"/>
                <w:sz w:val="22"/>
                <w:szCs w:val="22"/>
              </w:rPr>
              <w:t>Stock Valuation</w:t>
            </w:r>
          </w:p>
          <w:p w14:paraId="59A73775">
            <w:pPr>
              <w:numPr>
                <w:ilvl w:val="0"/>
                <w:numId w:val="1"/>
              </w:numPr>
              <w:ind w:left="420" w:leftChars="200"/>
              <w:rPr>
                <w:rFonts w:ascii="ˎ̥" w:hAnsi="ˎ̥"/>
                <w:sz w:val="22"/>
                <w:szCs w:val="22"/>
              </w:rPr>
            </w:pPr>
            <w:r>
              <w:rPr>
                <w:rFonts w:hint="eastAsia" w:ascii="ˎ̥" w:hAnsi="ˎ̥"/>
                <w:sz w:val="22"/>
                <w:szCs w:val="22"/>
              </w:rPr>
              <w:t>Intro to derivatives</w:t>
            </w:r>
          </w:p>
          <w:p w14:paraId="4FA2537E">
            <w:pPr>
              <w:spacing w:before="78" w:beforeLines="25" w:after="78" w:afterLines="25"/>
              <w:ind w:left="420" w:firstLine="240" w:firstLineChars="100"/>
              <w:rPr>
                <w:sz w:val="24"/>
              </w:rPr>
            </w:pPr>
            <w:r>
              <w:rPr>
                <w:rFonts w:hint="eastAsia"/>
                <w:sz w:val="24"/>
              </w:rPr>
              <w:t xml:space="preserve">  </w:t>
            </w:r>
          </w:p>
        </w:tc>
      </w:tr>
    </w:tbl>
    <w:p w14:paraId="48965429">
      <w:pPr>
        <w:ind w:left="-2" w:leftChars="-1" w:firstLine="1"/>
        <w:rPr>
          <w:sz w:val="24"/>
        </w:rPr>
      </w:pPr>
    </w:p>
    <w:p w14:paraId="10D01F07">
      <w:pPr>
        <w:ind w:left="-2" w:leftChars="-1" w:firstLine="1"/>
        <w:rPr>
          <w:sz w:val="24"/>
        </w:rPr>
      </w:pPr>
    </w:p>
    <w:p w14:paraId="249F3781">
      <w:pPr>
        <w:ind w:firstLine="480" w:firstLineChars="200"/>
        <w:rPr>
          <w:sz w:val="24"/>
        </w:rPr>
      </w:pPr>
    </w:p>
    <w:p w14:paraId="05B21FA7">
      <w:pPr>
        <w:rPr>
          <w:sz w:val="24"/>
        </w:rPr>
      </w:pPr>
      <w:r>
        <w:rPr>
          <w:rFonts w:hint="eastAsia"/>
          <w:sz w:val="24"/>
        </w:rPr>
        <w:t>三、Grading</w:t>
      </w:r>
    </w:p>
    <w:p w14:paraId="7222F925">
      <w:pPr>
        <w:rPr>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3705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8522" w:type="dxa"/>
          </w:tcPr>
          <w:p w14:paraId="7B1ADDAF">
            <w:pPr>
              <w:spacing w:before="78" w:beforeLines="25" w:after="78" w:afterLines="25"/>
              <w:rPr>
                <w:sz w:val="24"/>
              </w:rPr>
            </w:pPr>
            <w:r>
              <w:rPr>
                <w:rFonts w:hint="eastAsia"/>
                <w:sz w:val="24"/>
              </w:rPr>
              <w:t>3</w:t>
            </w:r>
            <w:r>
              <w:rPr>
                <w:sz w:val="24"/>
              </w:rPr>
              <w:t xml:space="preserve"> problem sets</w:t>
            </w:r>
            <w:r>
              <w:rPr>
                <w:rFonts w:hint="eastAsia"/>
                <w:sz w:val="24"/>
              </w:rPr>
              <w:t xml:space="preserve"> (3</w:t>
            </w:r>
            <w:r>
              <w:rPr>
                <w:sz w:val="24"/>
              </w:rPr>
              <w:t>0</w:t>
            </w:r>
            <w:r>
              <w:rPr>
                <w:rFonts w:hint="eastAsia"/>
                <w:sz w:val="24"/>
              </w:rPr>
              <w:t xml:space="preserve">%), </w:t>
            </w:r>
            <w:r>
              <w:rPr>
                <w:sz w:val="24"/>
              </w:rPr>
              <w:t>final</w:t>
            </w:r>
            <w:r>
              <w:rPr>
                <w:rFonts w:hint="eastAsia"/>
                <w:sz w:val="24"/>
              </w:rPr>
              <w:t xml:space="preserve"> exam (</w:t>
            </w:r>
            <w:r>
              <w:rPr>
                <w:sz w:val="24"/>
              </w:rPr>
              <w:t>40</w:t>
            </w:r>
            <w:r>
              <w:rPr>
                <w:rFonts w:hint="eastAsia"/>
                <w:sz w:val="24"/>
              </w:rPr>
              <w:t>%)</w:t>
            </w:r>
            <w:r>
              <w:rPr>
                <w:sz w:val="24"/>
              </w:rPr>
              <w:t xml:space="preserve">, </w:t>
            </w:r>
            <w:r>
              <w:rPr>
                <w:rFonts w:hint="eastAsia"/>
                <w:sz w:val="24"/>
              </w:rPr>
              <w:t>case study</w:t>
            </w:r>
            <w:r>
              <w:rPr>
                <w:sz w:val="24"/>
              </w:rPr>
              <w:t xml:space="preserve"> (</w:t>
            </w:r>
            <w:r>
              <w:rPr>
                <w:rFonts w:hint="eastAsia"/>
                <w:sz w:val="24"/>
              </w:rPr>
              <w:t>20</w:t>
            </w:r>
            <w:r>
              <w:rPr>
                <w:sz w:val="24"/>
              </w:rPr>
              <w:t xml:space="preserve">%) </w:t>
            </w:r>
            <w:r>
              <w:rPr>
                <w:rFonts w:hint="eastAsia"/>
                <w:sz w:val="24"/>
              </w:rPr>
              <w:t>and Class participation (10%). Case study requirement will be distributed by Apr. 22nd.</w:t>
            </w:r>
          </w:p>
        </w:tc>
      </w:tr>
    </w:tbl>
    <w:p w14:paraId="6107B47C">
      <w:pPr>
        <w:rPr>
          <w:sz w:val="24"/>
        </w:rPr>
      </w:pPr>
    </w:p>
    <w:p w14:paraId="52ECAF0E">
      <w:pPr>
        <w:rPr>
          <w:sz w:val="24"/>
        </w:rPr>
      </w:pPr>
      <w:r>
        <w:rPr>
          <w:rFonts w:hint="eastAsia"/>
          <w:sz w:val="24"/>
        </w:rPr>
        <w:t>四、Schedule</w:t>
      </w:r>
    </w:p>
    <w:p w14:paraId="1D54D166">
      <w:pPr>
        <w:rPr>
          <w:sz w:val="24"/>
        </w:rPr>
      </w:pPr>
    </w:p>
    <w:tbl>
      <w:tblPr>
        <w:tblStyle w:val="4"/>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3856"/>
        <w:gridCol w:w="4110"/>
      </w:tblGrid>
      <w:tr w14:paraId="65435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tcPr>
          <w:p w14:paraId="7A702C17">
            <w:pPr>
              <w:spacing w:before="78" w:beforeLines="25" w:after="78" w:afterLines="25"/>
              <w:rPr>
                <w:sz w:val="24"/>
              </w:rPr>
            </w:pPr>
            <w:r>
              <w:rPr>
                <w:rFonts w:hint="eastAsia"/>
                <w:sz w:val="24"/>
              </w:rPr>
              <w:t>1</w:t>
            </w:r>
            <w:r>
              <w:rPr>
                <w:sz w:val="24"/>
              </w:rPr>
              <w:t xml:space="preserve"> </w:t>
            </w:r>
          </w:p>
        </w:tc>
        <w:tc>
          <w:tcPr>
            <w:tcW w:w="3856" w:type="dxa"/>
          </w:tcPr>
          <w:p w14:paraId="49932541">
            <w:pPr>
              <w:spacing w:before="78" w:beforeLines="25" w:after="78" w:afterLines="25"/>
              <w:rPr>
                <w:sz w:val="24"/>
              </w:rPr>
            </w:pPr>
            <w:r>
              <w:rPr>
                <w:rFonts w:hint="eastAsia"/>
                <w:sz w:val="24"/>
              </w:rPr>
              <w:t xml:space="preserve">Investment Environment </w:t>
            </w:r>
          </w:p>
        </w:tc>
        <w:tc>
          <w:tcPr>
            <w:tcW w:w="4110" w:type="dxa"/>
          </w:tcPr>
          <w:p w14:paraId="4F15772E">
            <w:pPr>
              <w:spacing w:before="78" w:beforeLines="25" w:after="78" w:afterLines="25"/>
              <w:rPr>
                <w:sz w:val="24"/>
              </w:rPr>
            </w:pPr>
            <w:r>
              <w:rPr>
                <w:rFonts w:hint="eastAsia"/>
                <w:sz w:val="24"/>
              </w:rPr>
              <w:t>Reading</w:t>
            </w:r>
            <w:r>
              <w:rPr>
                <w:sz w:val="24"/>
              </w:rPr>
              <w:t xml:space="preserve">: </w:t>
            </w:r>
            <w:r>
              <w:rPr>
                <w:rFonts w:hint="eastAsia"/>
                <w:sz w:val="24"/>
              </w:rPr>
              <w:t>BKM</w:t>
            </w:r>
            <w:r>
              <w:rPr>
                <w:sz w:val="24"/>
              </w:rPr>
              <w:t xml:space="preserve">: </w:t>
            </w:r>
            <w:r>
              <w:rPr>
                <w:rFonts w:hint="eastAsia"/>
                <w:sz w:val="24"/>
              </w:rPr>
              <w:t>ch</w:t>
            </w:r>
            <w:r>
              <w:rPr>
                <w:sz w:val="24"/>
              </w:rPr>
              <w:t xml:space="preserve"> 1</w:t>
            </w:r>
            <w:r>
              <w:rPr>
                <w:rFonts w:hint="eastAsia"/>
                <w:sz w:val="24"/>
              </w:rPr>
              <w:t xml:space="preserve"> </w:t>
            </w:r>
          </w:p>
        </w:tc>
      </w:tr>
      <w:tr w14:paraId="2FBFF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tcPr>
          <w:p w14:paraId="016818AB">
            <w:pPr>
              <w:spacing w:before="78" w:beforeLines="25" w:after="78" w:afterLines="25"/>
              <w:rPr>
                <w:sz w:val="24"/>
              </w:rPr>
            </w:pPr>
            <w:r>
              <w:rPr>
                <w:rFonts w:hint="eastAsia"/>
                <w:sz w:val="24"/>
              </w:rPr>
              <w:t>2</w:t>
            </w:r>
            <w:r>
              <w:rPr>
                <w:sz w:val="24"/>
              </w:rPr>
              <w:t xml:space="preserve"> </w:t>
            </w:r>
          </w:p>
        </w:tc>
        <w:tc>
          <w:tcPr>
            <w:tcW w:w="3856" w:type="dxa"/>
          </w:tcPr>
          <w:p w14:paraId="4BE37CFB">
            <w:pPr>
              <w:spacing w:before="78" w:beforeLines="25" w:after="78" w:afterLines="25"/>
              <w:rPr>
                <w:sz w:val="24"/>
              </w:rPr>
            </w:pPr>
            <w:r>
              <w:rPr>
                <w:rFonts w:hint="eastAsia"/>
                <w:sz w:val="24"/>
              </w:rPr>
              <w:t>Asset class and financial instruments</w:t>
            </w:r>
          </w:p>
        </w:tc>
        <w:tc>
          <w:tcPr>
            <w:tcW w:w="4110" w:type="dxa"/>
          </w:tcPr>
          <w:p w14:paraId="0A563C11">
            <w:pPr>
              <w:spacing w:before="78" w:beforeLines="25" w:after="78" w:afterLines="25"/>
              <w:rPr>
                <w:sz w:val="24"/>
              </w:rPr>
            </w:pPr>
            <w:r>
              <w:rPr>
                <w:rFonts w:hint="eastAsia"/>
                <w:sz w:val="24"/>
              </w:rPr>
              <w:t>Reading: BKM</w:t>
            </w:r>
            <w:r>
              <w:rPr>
                <w:sz w:val="24"/>
              </w:rPr>
              <w:t xml:space="preserve">: </w:t>
            </w:r>
            <w:r>
              <w:rPr>
                <w:rFonts w:hint="eastAsia"/>
                <w:sz w:val="24"/>
              </w:rPr>
              <w:t>ch</w:t>
            </w:r>
            <w:r>
              <w:rPr>
                <w:sz w:val="24"/>
              </w:rPr>
              <w:t xml:space="preserve"> </w:t>
            </w:r>
            <w:r>
              <w:rPr>
                <w:rFonts w:hint="eastAsia"/>
                <w:sz w:val="24"/>
              </w:rPr>
              <w:t>2</w:t>
            </w:r>
          </w:p>
        </w:tc>
      </w:tr>
      <w:tr w14:paraId="11036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tcPr>
          <w:p w14:paraId="54A84FC4">
            <w:pPr>
              <w:spacing w:before="78" w:beforeLines="25" w:after="78" w:afterLines="25"/>
              <w:rPr>
                <w:sz w:val="24"/>
              </w:rPr>
            </w:pPr>
            <w:r>
              <w:rPr>
                <w:rFonts w:hint="eastAsia"/>
                <w:sz w:val="24"/>
              </w:rPr>
              <w:t xml:space="preserve">3 </w:t>
            </w:r>
          </w:p>
        </w:tc>
        <w:tc>
          <w:tcPr>
            <w:tcW w:w="3856" w:type="dxa"/>
          </w:tcPr>
          <w:p w14:paraId="1E25D885">
            <w:pPr>
              <w:spacing w:before="78" w:beforeLines="25" w:after="78" w:afterLines="25"/>
              <w:rPr>
                <w:sz w:val="24"/>
              </w:rPr>
            </w:pPr>
            <w:r>
              <w:rPr>
                <w:rFonts w:hint="eastAsia"/>
                <w:sz w:val="24"/>
              </w:rPr>
              <w:t xml:space="preserve">Security trading </w:t>
            </w:r>
          </w:p>
        </w:tc>
        <w:tc>
          <w:tcPr>
            <w:tcW w:w="4110" w:type="dxa"/>
          </w:tcPr>
          <w:p w14:paraId="19BC1D20">
            <w:pPr>
              <w:spacing w:before="78" w:beforeLines="25" w:after="78" w:afterLines="25"/>
              <w:rPr>
                <w:sz w:val="24"/>
              </w:rPr>
            </w:pPr>
            <w:r>
              <w:rPr>
                <w:rFonts w:hint="eastAsia"/>
                <w:sz w:val="24"/>
              </w:rPr>
              <w:t xml:space="preserve">Reading: </w:t>
            </w:r>
            <w:r>
              <w:rPr>
                <w:sz w:val="24"/>
              </w:rPr>
              <w:t xml:space="preserve">BKM </w:t>
            </w:r>
            <w:r>
              <w:rPr>
                <w:rFonts w:hint="eastAsia"/>
                <w:sz w:val="24"/>
              </w:rPr>
              <w:t>ch</w:t>
            </w:r>
            <w:r>
              <w:rPr>
                <w:sz w:val="24"/>
              </w:rPr>
              <w:t>3</w:t>
            </w:r>
          </w:p>
        </w:tc>
      </w:tr>
      <w:tr w14:paraId="70764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tcPr>
          <w:p w14:paraId="6D26EA81">
            <w:pPr>
              <w:spacing w:before="78" w:beforeLines="25" w:after="78" w:afterLines="25"/>
              <w:rPr>
                <w:sz w:val="24"/>
              </w:rPr>
            </w:pPr>
            <w:r>
              <w:rPr>
                <w:rFonts w:hint="eastAsia"/>
                <w:sz w:val="24"/>
              </w:rPr>
              <w:t xml:space="preserve">4 </w:t>
            </w:r>
          </w:p>
        </w:tc>
        <w:tc>
          <w:tcPr>
            <w:tcW w:w="3856" w:type="dxa"/>
          </w:tcPr>
          <w:p w14:paraId="02D81229">
            <w:pPr>
              <w:spacing w:before="78" w:beforeLines="25" w:after="78" w:afterLines="25"/>
              <w:rPr>
                <w:sz w:val="24"/>
              </w:rPr>
            </w:pPr>
            <w:r>
              <w:rPr>
                <w:rFonts w:hint="eastAsia"/>
                <w:sz w:val="24"/>
              </w:rPr>
              <w:t>Risk and Return</w:t>
            </w:r>
          </w:p>
        </w:tc>
        <w:tc>
          <w:tcPr>
            <w:tcW w:w="4110" w:type="dxa"/>
          </w:tcPr>
          <w:p w14:paraId="02000846">
            <w:pPr>
              <w:spacing w:before="78" w:beforeLines="25" w:after="78" w:afterLines="25"/>
              <w:rPr>
                <w:sz w:val="24"/>
              </w:rPr>
            </w:pPr>
            <w:r>
              <w:rPr>
                <w:rFonts w:hint="eastAsia"/>
                <w:sz w:val="24"/>
              </w:rPr>
              <w:t>Reading: BKM Ch5</w:t>
            </w:r>
          </w:p>
        </w:tc>
      </w:tr>
      <w:tr w14:paraId="1EF03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tcPr>
          <w:p w14:paraId="316435A1">
            <w:pPr>
              <w:spacing w:before="78" w:beforeLines="25" w:after="78" w:afterLines="25"/>
              <w:rPr>
                <w:sz w:val="24"/>
              </w:rPr>
            </w:pPr>
            <w:r>
              <w:rPr>
                <w:rFonts w:hint="eastAsia"/>
                <w:sz w:val="24"/>
              </w:rPr>
              <w:t>5</w:t>
            </w:r>
          </w:p>
        </w:tc>
        <w:tc>
          <w:tcPr>
            <w:tcW w:w="3856" w:type="dxa"/>
          </w:tcPr>
          <w:p w14:paraId="6D5AADF2">
            <w:pPr>
              <w:spacing w:before="78" w:beforeLines="25" w:after="78" w:afterLines="25"/>
              <w:rPr>
                <w:sz w:val="24"/>
              </w:rPr>
            </w:pPr>
            <w:r>
              <w:rPr>
                <w:rFonts w:hint="eastAsia"/>
                <w:sz w:val="24"/>
              </w:rPr>
              <w:t>Risk aversion and Capital allocation</w:t>
            </w:r>
          </w:p>
        </w:tc>
        <w:tc>
          <w:tcPr>
            <w:tcW w:w="4110" w:type="dxa"/>
          </w:tcPr>
          <w:p w14:paraId="0741A76F">
            <w:pPr>
              <w:spacing w:before="78" w:beforeLines="25" w:after="78" w:afterLines="25"/>
              <w:rPr>
                <w:sz w:val="24"/>
              </w:rPr>
            </w:pPr>
            <w:r>
              <w:rPr>
                <w:rFonts w:hint="eastAsia"/>
                <w:sz w:val="24"/>
              </w:rPr>
              <w:t>Reading</w:t>
            </w:r>
            <w:r>
              <w:rPr>
                <w:sz w:val="24"/>
              </w:rPr>
              <w:t>: BKM ch 6</w:t>
            </w:r>
          </w:p>
        </w:tc>
      </w:tr>
      <w:tr w14:paraId="0077F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tcPr>
          <w:p w14:paraId="29F90009">
            <w:pPr>
              <w:spacing w:before="78" w:beforeLines="25" w:after="78" w:afterLines="25"/>
              <w:rPr>
                <w:sz w:val="24"/>
              </w:rPr>
            </w:pPr>
            <w:r>
              <w:rPr>
                <w:rFonts w:hint="eastAsia"/>
                <w:sz w:val="24"/>
              </w:rPr>
              <w:t xml:space="preserve">6 </w:t>
            </w:r>
          </w:p>
        </w:tc>
        <w:tc>
          <w:tcPr>
            <w:tcW w:w="3856" w:type="dxa"/>
          </w:tcPr>
          <w:p w14:paraId="38EB3359">
            <w:pPr>
              <w:spacing w:before="78" w:beforeLines="25" w:after="78" w:afterLines="25"/>
              <w:rPr>
                <w:sz w:val="24"/>
              </w:rPr>
            </w:pPr>
            <w:r>
              <w:rPr>
                <w:rFonts w:hint="eastAsia"/>
                <w:sz w:val="24"/>
              </w:rPr>
              <w:t>Optimal risky portfolio</w:t>
            </w:r>
          </w:p>
        </w:tc>
        <w:tc>
          <w:tcPr>
            <w:tcW w:w="4110" w:type="dxa"/>
          </w:tcPr>
          <w:p w14:paraId="3A592024">
            <w:pPr>
              <w:spacing w:before="78" w:beforeLines="25" w:after="78" w:afterLines="25"/>
              <w:rPr>
                <w:sz w:val="24"/>
              </w:rPr>
            </w:pPr>
            <w:r>
              <w:rPr>
                <w:rFonts w:hint="eastAsia"/>
                <w:sz w:val="24"/>
              </w:rPr>
              <w:t>Reading</w:t>
            </w:r>
            <w:r>
              <w:rPr>
                <w:sz w:val="24"/>
              </w:rPr>
              <w:t>: BKM: ch 7</w:t>
            </w:r>
            <w:r>
              <w:rPr>
                <w:rFonts w:hint="eastAsia"/>
                <w:sz w:val="24"/>
              </w:rPr>
              <w:t>; Homework 1 due</w:t>
            </w:r>
          </w:p>
        </w:tc>
      </w:tr>
      <w:tr w14:paraId="15943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tcPr>
          <w:p w14:paraId="43A6E81B">
            <w:pPr>
              <w:spacing w:before="78" w:beforeLines="25" w:after="78" w:afterLines="25"/>
              <w:rPr>
                <w:sz w:val="24"/>
              </w:rPr>
            </w:pPr>
            <w:r>
              <w:rPr>
                <w:rFonts w:hint="eastAsia"/>
                <w:sz w:val="24"/>
              </w:rPr>
              <w:t xml:space="preserve">7 </w:t>
            </w:r>
          </w:p>
        </w:tc>
        <w:tc>
          <w:tcPr>
            <w:tcW w:w="3856" w:type="dxa"/>
          </w:tcPr>
          <w:p w14:paraId="7CFC6E4D">
            <w:pPr>
              <w:spacing w:before="78" w:beforeLines="25" w:after="78" w:afterLines="25"/>
              <w:rPr>
                <w:sz w:val="24"/>
              </w:rPr>
            </w:pPr>
            <w:r>
              <w:rPr>
                <w:sz w:val="24"/>
              </w:rPr>
              <w:t>Index model</w:t>
            </w:r>
          </w:p>
        </w:tc>
        <w:tc>
          <w:tcPr>
            <w:tcW w:w="4110" w:type="dxa"/>
          </w:tcPr>
          <w:p w14:paraId="72CCDEA0">
            <w:pPr>
              <w:spacing w:before="78" w:beforeLines="25" w:after="78" w:afterLines="25"/>
              <w:rPr>
                <w:sz w:val="24"/>
              </w:rPr>
            </w:pPr>
            <w:r>
              <w:rPr>
                <w:rFonts w:hint="eastAsia"/>
                <w:sz w:val="24"/>
              </w:rPr>
              <w:t>Reading</w:t>
            </w:r>
            <w:r>
              <w:rPr>
                <w:sz w:val="24"/>
              </w:rPr>
              <w:t>: BKM: ch 8</w:t>
            </w:r>
            <w:r>
              <w:rPr>
                <w:rFonts w:hint="eastAsia"/>
                <w:sz w:val="24"/>
              </w:rPr>
              <w:t>,9</w:t>
            </w:r>
          </w:p>
        </w:tc>
      </w:tr>
      <w:tr w14:paraId="070A9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tcPr>
          <w:p w14:paraId="3E2A03DF">
            <w:pPr>
              <w:spacing w:before="78" w:beforeLines="25" w:after="78" w:afterLines="25"/>
              <w:rPr>
                <w:sz w:val="24"/>
              </w:rPr>
            </w:pPr>
            <w:r>
              <w:rPr>
                <w:rFonts w:hint="eastAsia"/>
                <w:sz w:val="24"/>
              </w:rPr>
              <w:t xml:space="preserve">8 </w:t>
            </w:r>
          </w:p>
        </w:tc>
        <w:tc>
          <w:tcPr>
            <w:tcW w:w="3856" w:type="dxa"/>
          </w:tcPr>
          <w:p w14:paraId="1B059F2F">
            <w:pPr>
              <w:spacing w:before="78" w:beforeLines="25" w:after="78" w:afterLines="25"/>
              <w:rPr>
                <w:sz w:val="24"/>
              </w:rPr>
            </w:pPr>
            <w:r>
              <w:rPr>
                <w:rFonts w:hint="eastAsia"/>
                <w:sz w:val="24"/>
              </w:rPr>
              <w:t>APT and multifactor model</w:t>
            </w:r>
          </w:p>
        </w:tc>
        <w:tc>
          <w:tcPr>
            <w:tcW w:w="4110" w:type="dxa"/>
          </w:tcPr>
          <w:p w14:paraId="0B3EBC7F">
            <w:pPr>
              <w:spacing w:before="78" w:beforeLines="25" w:after="78" w:afterLines="25"/>
              <w:rPr>
                <w:sz w:val="24"/>
              </w:rPr>
            </w:pPr>
            <w:r>
              <w:rPr>
                <w:rFonts w:hint="eastAsia"/>
                <w:sz w:val="24"/>
              </w:rPr>
              <w:t>Reading</w:t>
            </w:r>
            <w:r>
              <w:rPr>
                <w:sz w:val="24"/>
              </w:rPr>
              <w:t xml:space="preserve">: BKM: ch </w:t>
            </w:r>
            <w:r>
              <w:rPr>
                <w:rFonts w:hint="eastAsia"/>
                <w:sz w:val="24"/>
              </w:rPr>
              <w:t>10,13</w:t>
            </w:r>
          </w:p>
        </w:tc>
      </w:tr>
      <w:tr w14:paraId="5342A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tcPr>
          <w:p w14:paraId="7A85D89B">
            <w:pPr>
              <w:spacing w:before="78" w:beforeLines="25" w:after="78" w:afterLines="25"/>
              <w:rPr>
                <w:sz w:val="24"/>
              </w:rPr>
            </w:pPr>
            <w:r>
              <w:rPr>
                <w:rFonts w:hint="eastAsia"/>
                <w:sz w:val="24"/>
              </w:rPr>
              <w:t>9</w:t>
            </w:r>
          </w:p>
        </w:tc>
        <w:tc>
          <w:tcPr>
            <w:tcW w:w="3856" w:type="dxa"/>
          </w:tcPr>
          <w:p w14:paraId="677768D0">
            <w:pPr>
              <w:spacing w:before="78" w:beforeLines="25" w:after="78" w:afterLines="25"/>
              <w:rPr>
                <w:sz w:val="24"/>
              </w:rPr>
            </w:pPr>
            <w:r>
              <w:rPr>
                <w:rFonts w:hint="eastAsia"/>
                <w:sz w:val="24"/>
              </w:rPr>
              <w:t>Market efficiency</w:t>
            </w:r>
          </w:p>
        </w:tc>
        <w:tc>
          <w:tcPr>
            <w:tcW w:w="4110" w:type="dxa"/>
          </w:tcPr>
          <w:p w14:paraId="6D36D2EB">
            <w:pPr>
              <w:spacing w:before="78" w:beforeLines="25" w:after="78" w:afterLines="25"/>
              <w:rPr>
                <w:sz w:val="24"/>
              </w:rPr>
            </w:pPr>
            <w:r>
              <w:rPr>
                <w:rFonts w:hint="eastAsia"/>
                <w:sz w:val="24"/>
              </w:rPr>
              <w:t>Reading</w:t>
            </w:r>
            <w:r>
              <w:rPr>
                <w:sz w:val="24"/>
              </w:rPr>
              <w:t xml:space="preserve">: BKM </w:t>
            </w:r>
            <w:r>
              <w:rPr>
                <w:rFonts w:hint="eastAsia"/>
                <w:sz w:val="24"/>
              </w:rPr>
              <w:t>ch</w:t>
            </w:r>
            <w:r>
              <w:rPr>
                <w:sz w:val="24"/>
              </w:rPr>
              <w:t xml:space="preserve"> 11</w:t>
            </w:r>
            <w:r>
              <w:rPr>
                <w:rFonts w:hint="eastAsia"/>
                <w:sz w:val="24"/>
              </w:rPr>
              <w:t>; Homework 2 due</w:t>
            </w:r>
          </w:p>
        </w:tc>
      </w:tr>
      <w:tr w14:paraId="0F27A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tcPr>
          <w:p w14:paraId="014E050C">
            <w:pPr>
              <w:spacing w:before="78" w:beforeLines="25" w:after="78" w:afterLines="25"/>
              <w:rPr>
                <w:sz w:val="24"/>
              </w:rPr>
            </w:pPr>
            <w:r>
              <w:rPr>
                <w:sz w:val="24"/>
              </w:rPr>
              <w:t>10</w:t>
            </w:r>
            <w:r>
              <w:rPr>
                <w:rFonts w:hint="eastAsia"/>
                <w:sz w:val="24"/>
              </w:rPr>
              <w:t xml:space="preserve"> </w:t>
            </w:r>
          </w:p>
        </w:tc>
        <w:tc>
          <w:tcPr>
            <w:tcW w:w="3856" w:type="dxa"/>
          </w:tcPr>
          <w:p w14:paraId="41139992">
            <w:pPr>
              <w:spacing w:before="78" w:beforeLines="25" w:after="78" w:afterLines="25"/>
              <w:rPr>
                <w:sz w:val="24"/>
              </w:rPr>
            </w:pPr>
            <w:r>
              <w:rPr>
                <w:rFonts w:hint="eastAsia"/>
                <w:sz w:val="24"/>
              </w:rPr>
              <w:t>Behavioral Finance</w:t>
            </w:r>
          </w:p>
        </w:tc>
        <w:tc>
          <w:tcPr>
            <w:tcW w:w="4110" w:type="dxa"/>
          </w:tcPr>
          <w:p w14:paraId="60A28CE4">
            <w:pPr>
              <w:spacing w:before="78" w:beforeLines="25" w:after="78" w:afterLines="25"/>
              <w:rPr>
                <w:sz w:val="24"/>
              </w:rPr>
            </w:pPr>
            <w:r>
              <w:rPr>
                <w:rFonts w:hint="eastAsia"/>
                <w:sz w:val="24"/>
              </w:rPr>
              <w:t xml:space="preserve">Reading: BKM ch 12；Case study due </w:t>
            </w:r>
          </w:p>
        </w:tc>
      </w:tr>
      <w:tr w14:paraId="228B0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tcPr>
          <w:p w14:paraId="785272F8">
            <w:pPr>
              <w:spacing w:before="78" w:beforeLines="25" w:after="78" w:afterLines="25"/>
              <w:rPr>
                <w:sz w:val="24"/>
              </w:rPr>
            </w:pPr>
            <w:r>
              <w:rPr>
                <w:sz w:val="24"/>
              </w:rPr>
              <w:t>11</w:t>
            </w:r>
          </w:p>
        </w:tc>
        <w:tc>
          <w:tcPr>
            <w:tcW w:w="3856" w:type="dxa"/>
          </w:tcPr>
          <w:p w14:paraId="4969B82E">
            <w:pPr>
              <w:spacing w:before="78" w:beforeLines="25" w:after="78" w:afterLines="25"/>
              <w:rPr>
                <w:sz w:val="24"/>
              </w:rPr>
            </w:pPr>
            <w:r>
              <w:rPr>
                <w:rFonts w:hint="eastAsia"/>
                <w:sz w:val="24"/>
              </w:rPr>
              <w:t>Bond</w:t>
            </w:r>
          </w:p>
        </w:tc>
        <w:tc>
          <w:tcPr>
            <w:tcW w:w="4110" w:type="dxa"/>
          </w:tcPr>
          <w:p w14:paraId="2B3573BD">
            <w:pPr>
              <w:spacing w:before="78" w:beforeLines="25" w:after="78" w:afterLines="25"/>
              <w:rPr>
                <w:sz w:val="24"/>
              </w:rPr>
            </w:pPr>
            <w:r>
              <w:rPr>
                <w:rFonts w:hint="eastAsia"/>
                <w:sz w:val="24"/>
              </w:rPr>
              <w:t>Reading: BKM ch 14-15</w:t>
            </w:r>
          </w:p>
        </w:tc>
      </w:tr>
      <w:tr w14:paraId="3D083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tcPr>
          <w:p w14:paraId="62164917">
            <w:pPr>
              <w:spacing w:before="78" w:beforeLines="25" w:after="78" w:afterLines="25"/>
              <w:rPr>
                <w:sz w:val="24"/>
              </w:rPr>
            </w:pPr>
            <w:r>
              <w:rPr>
                <w:rFonts w:hint="eastAsia"/>
                <w:sz w:val="24"/>
              </w:rPr>
              <w:t xml:space="preserve">12 </w:t>
            </w:r>
          </w:p>
        </w:tc>
        <w:tc>
          <w:tcPr>
            <w:tcW w:w="3856" w:type="dxa"/>
          </w:tcPr>
          <w:p w14:paraId="2D5B7802">
            <w:pPr>
              <w:widowControl/>
              <w:spacing w:before="78" w:beforeLines="25" w:after="78" w:afterLines="25"/>
              <w:jc w:val="left"/>
              <w:rPr>
                <w:rFonts w:cs="宋体"/>
                <w:b/>
                <w:bCs/>
                <w:color w:val="000000"/>
                <w:kern w:val="0"/>
                <w:sz w:val="24"/>
              </w:rPr>
            </w:pPr>
            <w:r>
              <w:rPr>
                <w:rFonts w:hint="eastAsia"/>
                <w:sz w:val="24"/>
              </w:rPr>
              <w:t>Stock valuation</w:t>
            </w:r>
          </w:p>
        </w:tc>
        <w:tc>
          <w:tcPr>
            <w:tcW w:w="4110" w:type="dxa"/>
          </w:tcPr>
          <w:p w14:paraId="3132D41D">
            <w:pPr>
              <w:spacing w:before="78" w:beforeLines="25" w:after="78" w:afterLines="25"/>
              <w:rPr>
                <w:sz w:val="24"/>
              </w:rPr>
            </w:pPr>
            <w:r>
              <w:rPr>
                <w:rFonts w:hint="eastAsia"/>
                <w:sz w:val="24"/>
              </w:rPr>
              <w:t>Reading</w:t>
            </w:r>
            <w:r>
              <w:rPr>
                <w:sz w:val="24"/>
              </w:rPr>
              <w:t xml:space="preserve">: BKM </w:t>
            </w:r>
            <w:r>
              <w:rPr>
                <w:rFonts w:hint="eastAsia"/>
                <w:sz w:val="24"/>
              </w:rPr>
              <w:t>ch</w:t>
            </w:r>
            <w:r>
              <w:rPr>
                <w:sz w:val="24"/>
              </w:rPr>
              <w:t xml:space="preserve"> 1</w:t>
            </w:r>
            <w:r>
              <w:rPr>
                <w:rFonts w:hint="eastAsia"/>
                <w:sz w:val="24"/>
              </w:rPr>
              <w:t xml:space="preserve">7-18 </w:t>
            </w:r>
          </w:p>
        </w:tc>
      </w:tr>
      <w:tr w14:paraId="56066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tcPr>
          <w:p w14:paraId="21EEC2D8">
            <w:pPr>
              <w:spacing w:before="78" w:beforeLines="25" w:after="78" w:afterLines="25"/>
              <w:rPr>
                <w:sz w:val="24"/>
              </w:rPr>
            </w:pPr>
            <w:r>
              <w:rPr>
                <w:rFonts w:hint="eastAsia"/>
                <w:sz w:val="24"/>
              </w:rPr>
              <w:t xml:space="preserve">13 </w:t>
            </w:r>
          </w:p>
        </w:tc>
        <w:tc>
          <w:tcPr>
            <w:tcW w:w="3856" w:type="dxa"/>
          </w:tcPr>
          <w:p w14:paraId="03632FB2">
            <w:pPr>
              <w:widowControl/>
              <w:spacing w:before="78" w:beforeLines="25" w:after="78" w:afterLines="25"/>
              <w:jc w:val="left"/>
              <w:rPr>
                <w:sz w:val="24"/>
              </w:rPr>
            </w:pPr>
            <w:r>
              <w:rPr>
                <w:rFonts w:hint="eastAsia"/>
                <w:sz w:val="24"/>
              </w:rPr>
              <w:t xml:space="preserve">Derivatives </w:t>
            </w:r>
          </w:p>
        </w:tc>
        <w:tc>
          <w:tcPr>
            <w:tcW w:w="4110" w:type="dxa"/>
          </w:tcPr>
          <w:p w14:paraId="6264664D">
            <w:pPr>
              <w:spacing w:before="78" w:beforeLines="25" w:after="78" w:afterLines="25"/>
              <w:rPr>
                <w:sz w:val="24"/>
              </w:rPr>
            </w:pPr>
            <w:r>
              <w:rPr>
                <w:rFonts w:hint="eastAsia"/>
                <w:sz w:val="24"/>
              </w:rPr>
              <w:t>Reading: BKM ch 20 Homework 3 due Jun 6</w:t>
            </w:r>
          </w:p>
        </w:tc>
      </w:tr>
      <w:tr w14:paraId="1E75A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tcPr>
          <w:p w14:paraId="0B40EA39">
            <w:pPr>
              <w:spacing w:before="78" w:beforeLines="25" w:after="78" w:afterLines="25"/>
              <w:rPr>
                <w:sz w:val="24"/>
              </w:rPr>
            </w:pPr>
          </w:p>
        </w:tc>
        <w:tc>
          <w:tcPr>
            <w:tcW w:w="3856" w:type="dxa"/>
          </w:tcPr>
          <w:p w14:paraId="63A17A75">
            <w:pPr>
              <w:widowControl/>
              <w:spacing w:before="78" w:beforeLines="25" w:after="78" w:afterLines="25"/>
              <w:jc w:val="left"/>
              <w:rPr>
                <w:sz w:val="24"/>
              </w:rPr>
            </w:pPr>
            <w:r>
              <w:rPr>
                <w:rFonts w:hint="eastAsia" w:cs="宋体"/>
                <w:b/>
                <w:bCs/>
                <w:color w:val="000000"/>
                <w:kern w:val="0"/>
                <w:sz w:val="24"/>
              </w:rPr>
              <w:t>Final exam</w:t>
            </w:r>
          </w:p>
        </w:tc>
        <w:tc>
          <w:tcPr>
            <w:tcW w:w="4110" w:type="dxa"/>
          </w:tcPr>
          <w:p w14:paraId="548C1B39">
            <w:pPr>
              <w:spacing w:before="78" w:beforeLines="25" w:after="78" w:afterLines="25"/>
              <w:rPr>
                <w:sz w:val="24"/>
              </w:rPr>
            </w:pPr>
          </w:p>
        </w:tc>
      </w:tr>
    </w:tbl>
    <w:p w14:paraId="5FADA1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A218FB"/>
    <w:multiLevelType w:val="singleLevel"/>
    <w:tmpl w:val="66A218F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lkMDM4MDMyNTdlMzExMjRhNTkwOTk5MmY1MjA1YjUifQ=="/>
  </w:docVars>
  <w:rsids>
    <w:rsidRoot w:val="0040435B"/>
    <w:rsid w:val="00046148"/>
    <w:rsid w:val="000F67F9"/>
    <w:rsid w:val="0016404F"/>
    <w:rsid w:val="001E1D3C"/>
    <w:rsid w:val="002636CD"/>
    <w:rsid w:val="003E5881"/>
    <w:rsid w:val="0040435B"/>
    <w:rsid w:val="00416624"/>
    <w:rsid w:val="004F2382"/>
    <w:rsid w:val="00514703"/>
    <w:rsid w:val="00626830"/>
    <w:rsid w:val="00634705"/>
    <w:rsid w:val="007010AD"/>
    <w:rsid w:val="00701944"/>
    <w:rsid w:val="00763884"/>
    <w:rsid w:val="007E2DE8"/>
    <w:rsid w:val="00805F70"/>
    <w:rsid w:val="008A1D0F"/>
    <w:rsid w:val="008B26CB"/>
    <w:rsid w:val="0091157C"/>
    <w:rsid w:val="0099705F"/>
    <w:rsid w:val="009D7B43"/>
    <w:rsid w:val="00B25300"/>
    <w:rsid w:val="00B82C50"/>
    <w:rsid w:val="00C025E9"/>
    <w:rsid w:val="00D715FC"/>
    <w:rsid w:val="00E05FF9"/>
    <w:rsid w:val="00ED4A6E"/>
    <w:rsid w:val="00FD467F"/>
    <w:rsid w:val="02225B04"/>
    <w:rsid w:val="1435235A"/>
    <w:rsid w:val="144667FB"/>
    <w:rsid w:val="161F262E"/>
    <w:rsid w:val="19175860"/>
    <w:rsid w:val="2DCE5269"/>
    <w:rsid w:val="2F720C6C"/>
    <w:rsid w:val="31807FCD"/>
    <w:rsid w:val="334C1FAB"/>
    <w:rsid w:val="368A3E70"/>
    <w:rsid w:val="4B7A73E4"/>
    <w:rsid w:val="4F0C47F7"/>
    <w:rsid w:val="59CF0B4D"/>
    <w:rsid w:val="5B086AED"/>
    <w:rsid w:val="5F66117E"/>
    <w:rsid w:val="642D7291"/>
    <w:rsid w:val="66702197"/>
    <w:rsid w:val="786959F4"/>
    <w:rsid w:val="7DD81BC4"/>
    <w:rsid w:val="7EE15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563C1"/>
      <w:u w:val="single"/>
    </w:rPr>
  </w:style>
  <w:style w:type="character" w:customStyle="1" w:styleId="7">
    <w:name w:val="页眉 Char"/>
    <w:basedOn w:val="5"/>
    <w:link w:val="3"/>
    <w:qFormat/>
    <w:uiPriority w:val="99"/>
    <w:rPr>
      <w:rFonts w:ascii="Times New Roman" w:hAnsi="Times New Roman" w:eastAsia="宋体" w:cs="Times New Roman"/>
      <w:kern w:val="2"/>
      <w:sz w:val="18"/>
      <w:szCs w:val="18"/>
    </w:rPr>
  </w:style>
  <w:style w:type="character" w:customStyle="1" w:styleId="8">
    <w:name w:val="页脚 Char"/>
    <w:basedOn w:val="5"/>
    <w:link w:val="2"/>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305</Words>
  <Characters>1672</Characters>
  <Lines>16</Lines>
  <Paragraphs>4</Paragraphs>
  <TotalTime>5</TotalTime>
  <ScaleCrop>false</ScaleCrop>
  <LinksUpToDate>false</LinksUpToDate>
  <CharactersWithSpaces>1898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2023-05-13T03:49:00Z</dcterms:created>
  <dc:creator>JYX</dc:creator>
  <cp:lastModifiedBy>喻烁蒙</cp:lastModifiedBy>
  <cp:lastPrinted>2023-03-10T10:11:00Z</cp:lastPrinted>
  <dcterms:modified xsi:type="dcterms:W3CDTF">2025-01-07T03:23:39Z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4FC2205142A84840AE002790E995020F_13</vt:lpwstr>
  </property>
  <property fmtid="{D5CDD505-2E9C-101B-9397-08002B2CF9AE}" pid="4" name="KSOTemplateDocerSaveRecord">
    <vt:lpwstr>eyJoZGlkIjoiNDk2Y2NjMTA2OGY2YzgxNDNlNTNhZjEzMjRhOTZiNTEiLCJ1c2VySWQiOiIzNTExOTc5MDUifQ==</vt:lpwstr>
  </property>
</Properties>
</file>